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193CB" w14:textId="79B867A9" w:rsidR="000D4CBB" w:rsidRDefault="00000000">
      <w:pPr>
        <w:tabs>
          <w:tab w:val="right" w:pos="9638"/>
        </w:tabs>
        <w:overflowPunct/>
        <w:autoSpaceDE/>
        <w:autoSpaceDN/>
        <w:adjustRightInd/>
        <w:spacing w:after="0"/>
        <w:textAlignment w:val="auto"/>
        <w:rPr>
          <w:rFonts w:ascii="Arial" w:eastAsia="Times New Roman" w:hAnsi="Arial" w:cs="Arial"/>
          <w:b/>
          <w:bCs/>
          <w:color w:val="auto"/>
          <w:szCs w:val="24"/>
          <w:lang w:eastAsia="en-US"/>
        </w:rPr>
      </w:pPr>
      <w:bookmarkStart w:id="0" w:name="DocumentFor"/>
      <w:bookmarkStart w:id="1" w:name="Title"/>
      <w:bookmarkEnd w:id="0"/>
      <w:bookmarkEnd w:id="1"/>
      <w:r>
        <w:rPr>
          <w:rFonts w:ascii="Arial" w:eastAsia="Times New Roman" w:hAnsi="Arial" w:cs="Arial"/>
          <w:b/>
          <w:bCs/>
          <w:color w:val="auto"/>
          <w:szCs w:val="24"/>
          <w:lang w:eastAsia="en-US"/>
        </w:rPr>
        <w:t>SA WG2 Meeting #S2-16</w:t>
      </w:r>
      <w:r w:rsidR="00572104">
        <w:rPr>
          <w:rFonts w:ascii="Arial" w:eastAsia="Times New Roman" w:hAnsi="Arial" w:cs="Arial"/>
          <w:b/>
          <w:bCs/>
          <w:color w:val="auto"/>
          <w:szCs w:val="24"/>
          <w:lang w:eastAsia="en-US"/>
        </w:rPr>
        <w:t>2</w:t>
      </w:r>
      <w:r>
        <w:rPr>
          <w:rFonts w:ascii="Arial" w:eastAsia="Times New Roman" w:hAnsi="Arial" w:cs="Arial"/>
          <w:b/>
          <w:bCs/>
          <w:color w:val="auto"/>
          <w:szCs w:val="24"/>
          <w:lang w:eastAsia="en-US"/>
        </w:rPr>
        <w:tab/>
        <w:t>S2-</w:t>
      </w:r>
      <w:r w:rsidR="00305F29" w:rsidRPr="00305F29">
        <w:t xml:space="preserve"> </w:t>
      </w:r>
      <w:r w:rsidR="00305F29" w:rsidRPr="00305F29">
        <w:rPr>
          <w:rFonts w:ascii="Arial" w:eastAsia="Times New Roman" w:hAnsi="Arial" w:cs="Arial"/>
          <w:b/>
          <w:bCs/>
          <w:color w:val="auto"/>
          <w:szCs w:val="24"/>
          <w:lang w:eastAsia="en-US"/>
        </w:rPr>
        <w:t>2404977</w:t>
      </w:r>
    </w:p>
    <w:p w14:paraId="4B9FCCA7" w14:textId="5EDBF69E" w:rsidR="000D4CBB" w:rsidRDefault="00572104">
      <w:pPr>
        <w:pBdr>
          <w:bottom w:val="single" w:sz="4" w:space="1" w:color="auto"/>
        </w:pBdr>
        <w:tabs>
          <w:tab w:val="right" w:pos="9638"/>
        </w:tabs>
        <w:overflowPunct/>
        <w:autoSpaceDE/>
        <w:autoSpaceDN/>
        <w:adjustRightInd/>
        <w:spacing w:after="0"/>
        <w:textAlignment w:val="auto"/>
        <w:rPr>
          <w:rFonts w:ascii="Arial" w:eastAsia="Times New Roman" w:hAnsi="Arial" w:cs="Arial"/>
          <w:b/>
          <w:bCs/>
          <w:color w:val="auto"/>
          <w:szCs w:val="24"/>
          <w:lang w:eastAsia="en-US"/>
        </w:rPr>
      </w:pPr>
      <w:r w:rsidRPr="00572104">
        <w:rPr>
          <w:rFonts w:ascii="Arial" w:eastAsia="Times New Roman" w:hAnsi="Arial" w:cs="Arial"/>
          <w:b/>
          <w:bCs/>
          <w:color w:val="auto"/>
          <w:szCs w:val="24"/>
          <w:lang w:eastAsia="en-US"/>
        </w:rPr>
        <w:t>15 April - 19 April, 2024, Changsha, China</w:t>
      </w:r>
      <w:r w:rsidR="00000000">
        <w:rPr>
          <w:rFonts w:ascii="Arial" w:eastAsia="Times New Roman" w:hAnsi="Arial" w:cs="Arial"/>
          <w:b/>
          <w:bCs/>
          <w:color w:val="auto"/>
          <w:szCs w:val="24"/>
          <w:lang w:eastAsia="en-US"/>
        </w:rPr>
        <w:tab/>
      </w:r>
      <w:r w:rsidR="00BE387E">
        <w:rPr>
          <w:rFonts w:ascii="Arial" w:eastAsia="Times New Roman" w:hAnsi="Arial" w:cs="Arial"/>
          <w:b/>
          <w:bCs/>
          <w:color w:val="auto"/>
          <w:szCs w:val="24"/>
          <w:lang w:eastAsia="en-US"/>
        </w:rPr>
        <w:t>resubmission</w:t>
      </w:r>
      <w:r w:rsidR="00000000">
        <w:rPr>
          <w:rFonts w:ascii="Arial" w:eastAsia="Times New Roman" w:hAnsi="Arial" w:cs="Arial"/>
          <w:b/>
          <w:bCs/>
          <w:color w:val="auto"/>
          <w:szCs w:val="24"/>
          <w:lang w:eastAsia="en-US"/>
        </w:rPr>
        <w:t xml:space="preserve"> (S2-</w:t>
      </w:r>
      <w:r>
        <w:rPr>
          <w:rFonts w:ascii="Arial" w:eastAsia="Times New Roman" w:hAnsi="Arial" w:cs="Arial"/>
          <w:b/>
          <w:bCs/>
          <w:color w:val="auto"/>
          <w:szCs w:val="24"/>
          <w:lang w:eastAsia="en-US"/>
        </w:rPr>
        <w:t>2402980</w:t>
      </w:r>
      <w:r w:rsidR="00000000">
        <w:rPr>
          <w:rFonts w:ascii="Arial" w:eastAsia="Times New Roman" w:hAnsi="Arial" w:cs="Arial"/>
          <w:b/>
          <w:bCs/>
          <w:color w:val="auto"/>
          <w:szCs w:val="24"/>
          <w:lang w:eastAsia="en-US"/>
        </w:rPr>
        <w:t>)</w:t>
      </w:r>
    </w:p>
    <w:p w14:paraId="4C7B10D0" w14:textId="77777777" w:rsidR="000D4CBB" w:rsidRDefault="00000000">
      <w:pPr>
        <w:ind w:left="2127" w:hanging="2127"/>
        <w:rPr>
          <w:rFonts w:ascii="Arial" w:hAnsi="Arial" w:cs="Arial"/>
          <w:b/>
          <w:lang w:val="en-US" w:eastAsia="zh-CN"/>
        </w:rPr>
      </w:pPr>
      <w:r>
        <w:rPr>
          <w:rFonts w:ascii="Arial" w:hAnsi="Arial" w:cs="Arial"/>
          <w:b/>
        </w:rPr>
        <w:t xml:space="preserve">Source: </w:t>
      </w:r>
      <w:r>
        <w:rPr>
          <w:rFonts w:ascii="Arial" w:hAnsi="Arial" w:cs="Arial"/>
          <w:b/>
        </w:rPr>
        <w:tab/>
      </w:r>
      <w:bookmarkStart w:id="2" w:name="OLE_LINK2"/>
      <w:r>
        <w:rPr>
          <w:rFonts w:ascii="Arial" w:hAnsi="Arial" w:cs="Arial"/>
          <w:b/>
        </w:rPr>
        <w:t>Meta USA</w:t>
      </w:r>
      <w:bookmarkEnd w:id="2"/>
      <w:r>
        <w:rPr>
          <w:rFonts w:ascii="Arial" w:hAnsi="Arial" w:cs="Arial"/>
          <w:b/>
        </w:rPr>
        <w:t>, SK Telecom</w:t>
      </w:r>
      <w:r>
        <w:rPr>
          <w:rFonts w:ascii="Arial" w:hAnsi="Arial" w:cs="Arial" w:hint="eastAsia"/>
          <w:b/>
          <w:lang w:val="en-US" w:eastAsia="zh-CN"/>
        </w:rPr>
        <w:t>, Tencent, Tencent Cloud</w:t>
      </w:r>
    </w:p>
    <w:p w14:paraId="2840D5DA" w14:textId="56282EB7" w:rsidR="000D4CBB" w:rsidRDefault="00000000">
      <w:pPr>
        <w:ind w:left="2127" w:hanging="2127"/>
        <w:rPr>
          <w:rFonts w:ascii="Arial" w:hAnsi="Arial" w:cs="Arial"/>
          <w:b/>
        </w:rPr>
      </w:pPr>
      <w:r>
        <w:rPr>
          <w:rFonts w:ascii="Arial" w:hAnsi="Arial" w:cs="Arial"/>
          <w:b/>
        </w:rPr>
        <w:t xml:space="preserve">Title: </w:t>
      </w:r>
      <w:r>
        <w:rPr>
          <w:rFonts w:ascii="Arial" w:hAnsi="Arial" w:cs="Arial"/>
          <w:b/>
        </w:rPr>
        <w:tab/>
        <w:t>KI#9: New Sol: Data rate limit information to AS/AF</w:t>
      </w:r>
    </w:p>
    <w:p w14:paraId="5A58E150" w14:textId="77777777" w:rsidR="000D4CBB" w:rsidRDefault="00000000">
      <w:pPr>
        <w:ind w:left="2127" w:hanging="2127"/>
        <w:rPr>
          <w:rFonts w:ascii="Arial" w:hAnsi="Arial" w:cs="Arial"/>
          <w:b/>
        </w:rPr>
      </w:pPr>
      <w:r>
        <w:rPr>
          <w:rFonts w:ascii="Arial" w:hAnsi="Arial" w:cs="Arial"/>
          <w:b/>
        </w:rPr>
        <w:t xml:space="preserve">Document </w:t>
      </w:r>
      <w:r>
        <w:rPr>
          <w:rFonts w:ascii="Arial" w:hAnsi="Arial" w:cs="Arial"/>
          <w:b/>
        </w:rPr>
        <w:t xml:space="preserve">for: </w:t>
      </w:r>
      <w:r>
        <w:rPr>
          <w:rFonts w:ascii="Arial" w:hAnsi="Arial" w:cs="Arial"/>
          <w:b/>
        </w:rPr>
        <w:tab/>
        <w:t>Approval</w:t>
      </w:r>
    </w:p>
    <w:p w14:paraId="1EC8A117" w14:textId="77777777" w:rsidR="000D4CBB" w:rsidRDefault="00000000">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ascii="Arial" w:hAnsi="Arial" w:cs="Arial" w:hint="eastAsia"/>
          <w:b/>
          <w:lang w:val="en-US" w:eastAsia="zh-CN"/>
        </w:rPr>
        <w:t>19.3</w:t>
      </w:r>
    </w:p>
    <w:p w14:paraId="11D8BFD5" w14:textId="77777777" w:rsidR="000D4CBB" w:rsidRDefault="00000000">
      <w:pPr>
        <w:ind w:left="2127" w:hanging="2127"/>
        <w:rPr>
          <w:rFonts w:ascii="Arial" w:hAnsi="Arial" w:cs="Arial"/>
          <w:b/>
          <w:lang w:eastAsia="zh-CN"/>
        </w:rPr>
      </w:pPr>
      <w:r>
        <w:rPr>
          <w:rFonts w:ascii="Arial" w:hAnsi="Arial" w:cs="Arial"/>
          <w:b/>
        </w:rPr>
        <w:t>Work Item / Release:</w:t>
      </w:r>
      <w:r>
        <w:rPr>
          <w:rFonts w:ascii="Arial" w:hAnsi="Arial" w:cs="Arial"/>
          <w:b/>
        </w:rPr>
        <w:tab/>
      </w:r>
      <w:bookmarkStart w:id="3" w:name="_Hlk91784932"/>
      <w:r>
        <w:rPr>
          <w:rFonts w:ascii="Arial" w:hAnsi="Arial" w:cs="Arial"/>
          <w:b/>
        </w:rPr>
        <w:t>FS_</w:t>
      </w:r>
      <w:r>
        <w:rPr>
          <w:rFonts w:ascii="Arial" w:hAnsi="Arial" w:cs="Arial" w:hint="eastAsia"/>
          <w:b/>
          <w:lang w:eastAsia="zh-CN"/>
        </w:rPr>
        <w:t>XRM</w:t>
      </w:r>
      <w:r>
        <w:rPr>
          <w:rFonts w:ascii="Arial" w:hAnsi="Arial" w:cs="Arial"/>
          <w:b/>
        </w:rPr>
        <w:t xml:space="preserve"> </w:t>
      </w:r>
      <w:bookmarkEnd w:id="3"/>
      <w:r>
        <w:rPr>
          <w:rFonts w:ascii="Arial" w:hAnsi="Arial" w:cs="Arial"/>
          <w:b/>
        </w:rPr>
        <w:t>/ Rel-1</w:t>
      </w:r>
      <w:r>
        <w:rPr>
          <w:rFonts w:ascii="Arial" w:hAnsi="Arial" w:cs="Arial" w:hint="eastAsia"/>
          <w:b/>
          <w:lang w:val="en-US" w:eastAsia="zh-CN"/>
        </w:rPr>
        <w:t>9</w:t>
      </w:r>
    </w:p>
    <w:p w14:paraId="43440500" w14:textId="77777777" w:rsidR="000D4CBB" w:rsidRDefault="00000000">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Propose </w:t>
      </w:r>
      <w:r>
        <w:rPr>
          <w:rFonts w:ascii="Arial" w:hAnsi="Arial" w:cs="Arial"/>
          <w:i/>
          <w:lang w:eastAsia="zh-CN"/>
        </w:rPr>
        <w:t>a solution related to KI9</w:t>
      </w:r>
      <w:r>
        <w:rPr>
          <w:rFonts w:ascii="Arial" w:hAnsi="Arial" w:cs="Arial"/>
          <w:i/>
          <w:lang w:val="en-US" w:eastAsia="zh-CN"/>
        </w:rPr>
        <w:t xml:space="preserve"> to allow AS awareness of data cap information imposed by the network</w:t>
      </w:r>
      <w:r>
        <w:rPr>
          <w:rFonts w:ascii="Arial" w:hAnsi="Arial" w:cs="Arial" w:hint="eastAsia"/>
          <w:i/>
          <w:lang w:eastAsia="zh-CN"/>
        </w:rPr>
        <w:t>.</w:t>
      </w:r>
    </w:p>
    <w:p w14:paraId="2380BACD" w14:textId="77777777" w:rsidR="000D4CBB" w:rsidRDefault="00000000">
      <w:pPr>
        <w:pStyle w:val="Heading1"/>
        <w:rPr>
          <w:lang w:eastAsia="zh-CN"/>
        </w:rPr>
      </w:pPr>
      <w:r>
        <w:t>1</w:t>
      </w:r>
      <w:r>
        <w:rPr>
          <w:rFonts w:hint="eastAsia"/>
          <w:lang w:eastAsia="zh-CN"/>
        </w:rPr>
        <w:t xml:space="preserve"> </w:t>
      </w:r>
      <w:r>
        <w:t>Discussion</w:t>
      </w:r>
    </w:p>
    <w:p w14:paraId="1C8B103C" w14:textId="77777777" w:rsidR="000D4CBB" w:rsidRDefault="00000000">
      <w:pPr>
        <w:rPr>
          <w:lang w:val="en-US" w:eastAsia="zh-CN"/>
        </w:rPr>
      </w:pPr>
      <w:r>
        <w:rPr>
          <w:lang w:val="en-US" w:eastAsia="zh-CN"/>
        </w:rPr>
        <w:t>WT#4 is related to network exposure, specifically on network related information can be exposed towards the application layer. This paper proposes to send data rate limiting information to application layer in the AS/AF.</w:t>
      </w:r>
    </w:p>
    <w:p w14:paraId="1DFA8565" w14:textId="77777777" w:rsidR="000D4CBB" w:rsidRDefault="00000000">
      <w:pPr>
        <w:rPr>
          <w:lang w:val="en-US" w:eastAsia="zh-CN"/>
        </w:rPr>
      </w:pPr>
      <w:r>
        <w:rPr>
          <w:lang w:val="en-US" w:eastAsia="zh-CN"/>
        </w:rPr>
        <w:t>It is common practices that mobile network performs data rate shaping for various reasons (</w:t>
      </w:r>
      <w:proofErr w:type="spellStart"/>
      <w:r>
        <w:rPr>
          <w:lang w:val="en-US" w:eastAsia="zh-CN"/>
        </w:rPr>
        <w:t>e.g</w:t>
      </w:r>
      <w:proofErr w:type="spellEnd"/>
      <w:r>
        <w:rPr>
          <w:lang w:val="en-US" w:eastAsia="zh-CN"/>
        </w:rPr>
        <w:t xml:space="preserve">, exceeding quota, network congestion for lower tier customers, </w:t>
      </w:r>
      <w:proofErr w:type="spellStart"/>
      <w:r>
        <w:rPr>
          <w:lang w:val="en-US" w:eastAsia="zh-CN"/>
        </w:rPr>
        <w:t>etc</w:t>
      </w:r>
      <w:proofErr w:type="spellEnd"/>
      <w:r>
        <w:rPr>
          <w:lang w:val="en-US" w:eastAsia="zh-CN"/>
        </w:rPr>
        <w:t xml:space="preserve">). See below for some rate plan examples found in USA.  </w:t>
      </w:r>
    </w:p>
    <w:tbl>
      <w:tblPr>
        <w:tblStyle w:val="TableGrid"/>
        <w:tblW w:w="0" w:type="auto"/>
        <w:tblLook w:val="04A0" w:firstRow="1" w:lastRow="0" w:firstColumn="1" w:lastColumn="0" w:noHBand="0" w:noVBand="1"/>
      </w:tblPr>
      <w:tblGrid>
        <w:gridCol w:w="9628"/>
      </w:tblGrid>
      <w:tr w:rsidR="000D4CBB" w14:paraId="2C294824" w14:textId="77777777">
        <w:tc>
          <w:tcPr>
            <w:tcW w:w="9628" w:type="dxa"/>
          </w:tcPr>
          <w:p w14:paraId="2EDC44FD" w14:textId="77777777" w:rsidR="000D4CBB" w:rsidRDefault="00000000">
            <w:pPr>
              <w:rPr>
                <w:lang w:val="en-US" w:eastAsia="zh-CN"/>
              </w:rPr>
            </w:pPr>
            <w:r>
              <w:rPr>
                <w:noProof/>
                <w:lang w:val="en-US" w:eastAsia="zh-CN"/>
              </w:rPr>
              <w:drawing>
                <wp:inline distT="0" distB="0" distL="0" distR="0" wp14:anchorId="0B98BCD6" wp14:editId="7D910560">
                  <wp:extent cx="2557145" cy="623570"/>
                  <wp:effectExtent l="0" t="0" r="0" b="0"/>
                  <wp:docPr id="1397441643" name="Picture 139744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441643" name="Picture 1397441643"/>
                          <pic:cNvPicPr>
                            <a:picLocks noChangeAspect="1"/>
                          </pic:cNvPicPr>
                        </pic:nvPicPr>
                        <pic:blipFill>
                          <a:blip r:embed="rId8"/>
                          <a:stretch>
                            <a:fillRect/>
                          </a:stretch>
                        </pic:blipFill>
                        <pic:spPr>
                          <a:xfrm>
                            <a:off x="0" y="0"/>
                            <a:ext cx="2648169" cy="645695"/>
                          </a:xfrm>
                          <a:prstGeom prst="rect">
                            <a:avLst/>
                          </a:prstGeom>
                        </pic:spPr>
                      </pic:pic>
                    </a:graphicData>
                  </a:graphic>
                </wp:inline>
              </w:drawing>
            </w:r>
            <w:r>
              <w:rPr>
                <w:lang w:val="en-US" w:eastAsia="zh-CN"/>
              </w:rPr>
              <w:t xml:space="preserve"> </w:t>
            </w:r>
            <w:r>
              <w:rPr>
                <w:noProof/>
                <w:lang w:val="en-US" w:eastAsia="zh-CN"/>
              </w:rPr>
              <w:drawing>
                <wp:inline distT="0" distB="0" distL="0" distR="0" wp14:anchorId="3F883773" wp14:editId="67C40F1E">
                  <wp:extent cx="3266440" cy="510540"/>
                  <wp:effectExtent l="0" t="0" r="0" b="0"/>
                  <wp:docPr id="792988529" name="Picture 792988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88529" name="Picture 792988529"/>
                          <pic:cNvPicPr>
                            <a:picLocks noChangeAspect="1"/>
                          </pic:cNvPicPr>
                        </pic:nvPicPr>
                        <pic:blipFill>
                          <a:blip r:embed="rId9"/>
                          <a:stretch>
                            <a:fillRect/>
                          </a:stretch>
                        </pic:blipFill>
                        <pic:spPr>
                          <a:xfrm>
                            <a:off x="0" y="0"/>
                            <a:ext cx="3396063" cy="530921"/>
                          </a:xfrm>
                          <a:prstGeom prst="rect">
                            <a:avLst/>
                          </a:prstGeom>
                        </pic:spPr>
                      </pic:pic>
                    </a:graphicData>
                  </a:graphic>
                </wp:inline>
              </w:drawing>
            </w:r>
          </w:p>
          <w:p w14:paraId="534F7AD2" w14:textId="77777777" w:rsidR="000D4CBB" w:rsidRDefault="00000000">
            <w:pPr>
              <w:rPr>
                <w:lang w:val="en-US" w:eastAsia="zh-CN"/>
              </w:rPr>
            </w:pPr>
            <w:r>
              <w:rPr>
                <w:noProof/>
                <w:lang w:val="en-US" w:eastAsia="zh-CN"/>
              </w:rPr>
              <w:drawing>
                <wp:inline distT="0" distB="0" distL="0" distR="0" wp14:anchorId="6784D1A8" wp14:editId="6D6BF91D">
                  <wp:extent cx="5532755" cy="424815"/>
                  <wp:effectExtent l="0" t="0" r="0" b="0"/>
                  <wp:docPr id="1155893553" name="Picture 1155893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93553" name="Picture 1155893553"/>
                          <pic:cNvPicPr>
                            <a:picLocks noChangeAspect="1"/>
                          </pic:cNvPicPr>
                        </pic:nvPicPr>
                        <pic:blipFill>
                          <a:blip r:embed="rId10"/>
                          <a:stretch>
                            <a:fillRect/>
                          </a:stretch>
                        </pic:blipFill>
                        <pic:spPr>
                          <a:xfrm>
                            <a:off x="0" y="0"/>
                            <a:ext cx="5843576" cy="449273"/>
                          </a:xfrm>
                          <a:prstGeom prst="rect">
                            <a:avLst/>
                          </a:prstGeom>
                        </pic:spPr>
                      </pic:pic>
                    </a:graphicData>
                  </a:graphic>
                </wp:inline>
              </w:drawing>
            </w:r>
          </w:p>
          <w:p w14:paraId="2B27AD1F" w14:textId="77777777" w:rsidR="000D4CBB" w:rsidRDefault="00000000">
            <w:pPr>
              <w:rPr>
                <w:sz w:val="15"/>
                <w:szCs w:val="15"/>
                <w:lang w:val="en-US" w:eastAsia="zh-CN"/>
              </w:rPr>
            </w:pPr>
            <w:r>
              <w:rPr>
                <w:sz w:val="15"/>
                <w:szCs w:val="15"/>
                <w:lang w:val="en-US" w:eastAsia="zh-CN"/>
              </w:rPr>
              <w:t xml:space="preserve">Ref: </w:t>
            </w:r>
            <w:hyperlink r:id="rId11" w:history="1">
              <w:r>
                <w:rPr>
                  <w:rStyle w:val="Hyperlink"/>
                  <w:sz w:val="15"/>
                  <w:szCs w:val="15"/>
                  <w:lang w:val="en-US" w:eastAsia="zh-CN"/>
                </w:rPr>
                <w:t>https://www.t-mobile.com/tv-streaming/binge-on</w:t>
              </w:r>
            </w:hyperlink>
            <w:r>
              <w:rPr>
                <w:sz w:val="15"/>
                <w:szCs w:val="15"/>
                <w:lang w:val="en-US" w:eastAsia="zh-CN"/>
              </w:rPr>
              <w:t xml:space="preserve">, </w:t>
            </w:r>
            <w:r>
              <w:rPr>
                <w:noProof/>
                <w:sz w:val="15"/>
                <w:szCs w:val="15"/>
                <w:lang w:val="en-US" w:eastAsia="zh-CN"/>
              </w:rPr>
              <mc:AlternateContent>
                <mc:Choice Requires="wps">
                  <w:drawing>
                    <wp:anchor distT="0" distB="0" distL="114300" distR="114300" simplePos="0" relativeHeight="251659264" behindDoc="0" locked="0" layoutInCell="1" allowOverlap="1" wp14:anchorId="6240BAA1" wp14:editId="68449E4F">
                      <wp:simplePos x="0" y="0"/>
                      <wp:positionH relativeFrom="column">
                        <wp:posOffset>3411220</wp:posOffset>
                      </wp:positionH>
                      <wp:positionV relativeFrom="paragraph">
                        <wp:posOffset>81280</wp:posOffset>
                      </wp:positionV>
                      <wp:extent cx="635" cy="635"/>
                      <wp:effectExtent l="38100" t="38100" r="38100" b="38100"/>
                      <wp:wrapNone/>
                      <wp:docPr id="1592718689" name="Ink 7"/>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xmlns:wpsCustomData="http://www.wps.cn/officeDocument/2013/wpsCustomData">
                  <w:pict>
                    <v:shape id="Ink 7" o:spid="_x0000_s1026" o:spt="75" style="position:absolute;left:0pt;margin-left:268.6pt;margin-top:6.4pt;height:0.05pt;width:0.05pt;z-index:251659264;mso-width-relative:page;mso-height-relative:page;" coordsize="21600,21600" o:gfxdata="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">
                      <v:imagedata r:id="rId13" o:title=""/>
                      <o:lock v:ext="edit"/>
                    </v:shape>
                  </w:pict>
                </mc:Fallback>
              </mc:AlternateContent>
            </w:r>
            <w:hyperlink r:id="rId14" w:history="1">
              <w:r>
                <w:rPr>
                  <w:rStyle w:val="Hyperlink"/>
                  <w:sz w:val="15"/>
                  <w:szCs w:val="15"/>
                  <w:lang w:val="en-US" w:eastAsia="zh-CN"/>
                </w:rPr>
                <w:t>https://www.verizon.com/support/important-plan-information/</w:t>
              </w:r>
            </w:hyperlink>
            <w:r>
              <w:rPr>
                <w:sz w:val="15"/>
                <w:szCs w:val="15"/>
                <w:lang w:val="en-US" w:eastAsia="zh-CN"/>
              </w:rPr>
              <w:t xml:space="preserve">, </w:t>
            </w:r>
            <w:hyperlink r:id="rId15" w:history="1">
              <w:r>
                <w:rPr>
                  <w:rStyle w:val="Hyperlink"/>
                  <w:sz w:val="15"/>
                  <w:szCs w:val="15"/>
                  <w:lang w:val="en-US" w:eastAsia="zh-CN"/>
                </w:rPr>
                <w:t>https://www.att.com/plans/wireless/</w:t>
              </w:r>
            </w:hyperlink>
          </w:p>
        </w:tc>
      </w:tr>
    </w:tbl>
    <w:p w14:paraId="46C16AAA" w14:textId="77777777" w:rsidR="000D4CBB" w:rsidRDefault="000D4CBB">
      <w:pPr>
        <w:rPr>
          <w:lang w:val="en-US" w:eastAsia="zh-CN"/>
        </w:rPr>
      </w:pPr>
    </w:p>
    <w:p w14:paraId="0525D095" w14:textId="77777777" w:rsidR="000D4CBB" w:rsidRDefault="00000000">
      <w:pPr>
        <w:rPr>
          <w:lang w:val="en-US" w:eastAsia="zh-CN"/>
        </w:rPr>
      </w:pPr>
      <w:r>
        <w:rPr>
          <w:lang w:val="en-US" w:eastAsia="zh-CN"/>
        </w:rPr>
        <w:t xml:space="preserve">From AS perspective, the bitrate “cap” which is done by the mobile network can induce more delay in bandwidth negotiation with the UE; hence inducing bad </w:t>
      </w:r>
      <w:proofErr w:type="spellStart"/>
      <w:r>
        <w:rPr>
          <w:lang w:val="en-US" w:eastAsia="zh-CN"/>
        </w:rPr>
        <w:t>QoE</w:t>
      </w:r>
      <w:proofErr w:type="spellEnd"/>
      <w:r>
        <w:rPr>
          <w:lang w:val="en-US" w:eastAsia="zh-CN"/>
        </w:rPr>
        <w:t>. On the other hand, if AS is aware of the intentional bitrate capping by the network, then the overall codec rate selections can be improved (see illustration below).</w:t>
      </w:r>
    </w:p>
    <w:tbl>
      <w:tblPr>
        <w:tblStyle w:val="TableGrid"/>
        <w:tblW w:w="0" w:type="auto"/>
        <w:tblLook w:val="04A0" w:firstRow="1" w:lastRow="0" w:firstColumn="1" w:lastColumn="0" w:noHBand="0" w:noVBand="1"/>
      </w:tblPr>
      <w:tblGrid>
        <w:gridCol w:w="9628"/>
      </w:tblGrid>
      <w:tr w:rsidR="000D4CBB" w14:paraId="5AEBF200" w14:textId="77777777">
        <w:tc>
          <w:tcPr>
            <w:tcW w:w="9628" w:type="dxa"/>
          </w:tcPr>
          <w:p w14:paraId="16BF88EC" w14:textId="77777777" w:rsidR="000D4CBB" w:rsidRDefault="00000000">
            <w:pPr>
              <w:rPr>
                <w:lang w:val="en-US" w:eastAsia="zh-CN"/>
              </w:rPr>
            </w:pPr>
            <w:r>
              <w:rPr>
                <w:noProof/>
                <w:lang w:val="en-US" w:eastAsia="zh-CN"/>
              </w:rPr>
              <w:drawing>
                <wp:inline distT="0" distB="0" distL="0" distR="0" wp14:anchorId="2B7A2527" wp14:editId="07F00497">
                  <wp:extent cx="5884545" cy="1616710"/>
                  <wp:effectExtent l="0" t="0" r="0" b="0"/>
                  <wp:docPr id="14470374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037452" name="Picture 1"/>
                          <pic:cNvPicPr>
                            <a:picLocks noChangeAspect="1"/>
                          </pic:cNvPicPr>
                        </pic:nvPicPr>
                        <pic:blipFill>
                          <a:blip r:embed="rId16"/>
                          <a:stretch>
                            <a:fillRect/>
                          </a:stretch>
                        </pic:blipFill>
                        <pic:spPr>
                          <a:xfrm>
                            <a:off x="0" y="0"/>
                            <a:ext cx="5895326" cy="1619716"/>
                          </a:xfrm>
                          <a:prstGeom prst="rect">
                            <a:avLst/>
                          </a:prstGeom>
                        </pic:spPr>
                      </pic:pic>
                    </a:graphicData>
                  </a:graphic>
                </wp:inline>
              </w:drawing>
            </w:r>
          </w:p>
          <w:p w14:paraId="4CF48054" w14:textId="77777777" w:rsidR="000D4CBB" w:rsidRDefault="00000000">
            <w:pPr>
              <w:rPr>
                <w:sz w:val="13"/>
                <w:szCs w:val="13"/>
                <w:lang w:val="en-US" w:eastAsia="zh-CN"/>
              </w:rPr>
            </w:pPr>
            <w:r>
              <w:rPr>
                <w:sz w:val="13"/>
                <w:szCs w:val="13"/>
                <w:lang w:val="en-US" w:eastAsia="zh-CN"/>
              </w:rPr>
              <w:t xml:space="preserve">Ref: </w:t>
            </w:r>
            <w:hyperlink r:id="rId17" w:history="1">
              <w:r>
                <w:rPr>
                  <w:rStyle w:val="Hyperlink"/>
                  <w:sz w:val="13"/>
                  <w:szCs w:val="13"/>
                  <w:lang w:val="en-US" w:eastAsia="zh-CN"/>
                </w:rPr>
                <w:t>https://github.com/mjoras/sadcdn/blob/main/materials/117/SADCDN%20IETF%20DISPATCH.pdf</w:t>
              </w:r>
            </w:hyperlink>
          </w:p>
        </w:tc>
      </w:tr>
    </w:tbl>
    <w:p w14:paraId="28AFE1E3" w14:textId="77777777" w:rsidR="000D4CBB" w:rsidRDefault="000D4CBB">
      <w:pPr>
        <w:rPr>
          <w:lang w:val="en-US" w:eastAsia="zh-CN"/>
        </w:rPr>
      </w:pPr>
    </w:p>
    <w:p w14:paraId="7E798CEA" w14:textId="77777777" w:rsidR="000D4CBB" w:rsidRDefault="00000000">
      <w:pPr>
        <w:pStyle w:val="Heading1"/>
      </w:pPr>
      <w:r>
        <w:t>2 Proposal</w:t>
      </w:r>
    </w:p>
    <w:p w14:paraId="181FE9D7" w14:textId="77777777" w:rsidR="000D4CBB" w:rsidRDefault="00000000">
      <w:pPr>
        <w:rPr>
          <w:rFonts w:ascii="Arial" w:hAnsi="Arial" w:cs="Arial"/>
          <w:bCs/>
          <w:lang w:val="en-US" w:eastAsia="zh-CN"/>
        </w:rPr>
      </w:pPr>
      <w:bookmarkStart w:id="4" w:name="_Hlk513714389"/>
      <w:r>
        <w:rPr>
          <w:rFonts w:ascii="Arial" w:hAnsi="Arial" w:cs="Arial"/>
          <w:bCs/>
        </w:rPr>
        <w:t>It is proposed to update TR 23.</w:t>
      </w:r>
      <w:r>
        <w:rPr>
          <w:rFonts w:ascii="Arial" w:hAnsi="Arial" w:cs="Arial" w:hint="eastAsia"/>
          <w:bCs/>
          <w:lang w:eastAsia="zh-CN"/>
        </w:rPr>
        <w:t>700-</w:t>
      </w:r>
      <w:r>
        <w:rPr>
          <w:rFonts w:ascii="Arial" w:hAnsi="Arial" w:cs="Arial" w:hint="eastAsia"/>
          <w:bCs/>
          <w:lang w:val="en-US" w:eastAsia="zh-CN"/>
        </w:rPr>
        <w:t xml:space="preserve">70 </w:t>
      </w:r>
      <w:r>
        <w:rPr>
          <w:rFonts w:ascii="Arial" w:hAnsi="Arial" w:cs="Arial"/>
          <w:bCs/>
        </w:rPr>
        <w:t>as follows</w:t>
      </w:r>
      <w:r>
        <w:rPr>
          <w:rFonts w:ascii="Arial" w:hAnsi="Arial" w:cs="Arial" w:hint="eastAsia"/>
          <w:bCs/>
          <w:lang w:val="en-US" w:eastAsia="zh-CN"/>
        </w:rPr>
        <w:t>.</w:t>
      </w:r>
    </w:p>
    <w:p w14:paraId="1B5AA81C" w14:textId="77777777" w:rsidR="000D4CBB" w:rsidRDefault="000D4CBB">
      <w:pPr>
        <w:pStyle w:val="Heading1"/>
        <w:ind w:left="0" w:firstLine="0"/>
        <w:rPr>
          <w:lang w:eastAsia="zh-CN"/>
        </w:rPr>
      </w:pPr>
      <w:bookmarkStart w:id="5" w:name="_Hlk92215149"/>
      <w:bookmarkEnd w:id="4"/>
    </w:p>
    <w:p w14:paraId="7FF00D30" w14:textId="77777777" w:rsidR="000D4CB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6" w:name="_Toc436124703"/>
      <w:bookmarkStart w:id="7" w:name="_Toc435670433"/>
      <w:bookmarkStart w:id="8" w:name="_Toc509905226"/>
      <w:bookmarkStart w:id="9" w:name="_Toc23254037"/>
      <w:bookmarkStart w:id="10" w:name="_Toc510604403"/>
      <w:bookmarkStart w:id="11" w:name="_Toc22214904"/>
      <w:r>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Pr>
          <w:rFonts w:ascii="Arial" w:eastAsia="Malgun Gothic" w:hAnsi="Arial" w:cs="Arial"/>
          <w:color w:val="FF0000"/>
          <w:sz w:val="28"/>
          <w:szCs w:val="28"/>
          <w:lang w:val="en-US" w:eastAsia="zh-CN"/>
        </w:rPr>
        <w:t xml:space="preserve"> </w:t>
      </w:r>
      <w:r>
        <w:rPr>
          <w:rFonts w:ascii="Arial" w:eastAsia="Malgun Gothic" w:hAnsi="Arial" w:cs="Arial"/>
          <w:color w:val="FF0000"/>
          <w:sz w:val="28"/>
          <w:szCs w:val="28"/>
          <w:lang w:val="en-US"/>
        </w:rPr>
        <w:t>change * * * *</w:t>
      </w:r>
      <w:r>
        <w:rPr>
          <w:rFonts w:ascii="Arial" w:eastAsia="SimSun" w:hAnsi="Arial" w:cs="Arial" w:hint="eastAsia"/>
          <w:color w:val="FF0000"/>
          <w:sz w:val="28"/>
          <w:szCs w:val="28"/>
          <w:lang w:val="en-US" w:eastAsia="zh-CN"/>
        </w:rPr>
        <w:t>(</w:t>
      </w:r>
      <w:r>
        <w:rPr>
          <w:rFonts w:ascii="Arial" w:eastAsia="SimSun" w:hAnsi="Arial" w:cs="Arial"/>
          <w:color w:val="FF0000"/>
          <w:sz w:val="28"/>
          <w:szCs w:val="28"/>
          <w:lang w:val="en-US" w:eastAsia="zh-CN"/>
        </w:rPr>
        <w:t>all new texts</w:t>
      </w:r>
      <w:r>
        <w:rPr>
          <w:rFonts w:ascii="Arial" w:eastAsia="SimSun" w:hAnsi="Arial" w:cs="Arial" w:hint="eastAsia"/>
          <w:color w:val="FF0000"/>
          <w:sz w:val="28"/>
          <w:szCs w:val="28"/>
          <w:lang w:val="en-US" w:eastAsia="zh-CN"/>
        </w:rPr>
        <w:t>)</w:t>
      </w:r>
    </w:p>
    <w:p w14:paraId="3736F488" w14:textId="77777777" w:rsidR="000D4CBB" w:rsidRDefault="00000000">
      <w:pPr>
        <w:pStyle w:val="Heading1"/>
      </w:pPr>
      <w:bookmarkStart w:id="12" w:name="_Toc148498830"/>
      <w:r>
        <w:t>6</w:t>
      </w:r>
      <w:r>
        <w:tab/>
        <w:t>Solutions</w:t>
      </w:r>
      <w:bookmarkEnd w:id="12"/>
    </w:p>
    <w:p w14:paraId="524FD641" w14:textId="77777777" w:rsidR="000D4CBB" w:rsidRDefault="00000000">
      <w:pPr>
        <w:pStyle w:val="Heading2"/>
      </w:pPr>
      <w:bookmarkStart w:id="13" w:name="_Toc43906649"/>
      <w:bookmarkStart w:id="14" w:name="_Toc57530236"/>
      <w:bookmarkStart w:id="15" w:name="_Toc26431229"/>
      <w:bookmarkStart w:id="16" w:name="_Toc148498831"/>
      <w:bookmarkStart w:id="17" w:name="_Toc30694627"/>
      <w:bookmarkStart w:id="18" w:name="_Toc26386423"/>
      <w:bookmarkStart w:id="19" w:name="_Toc43906765"/>
      <w:bookmarkStart w:id="20" w:name="_Toc22192650"/>
      <w:bookmarkStart w:id="21" w:name="_Toc57236595"/>
      <w:bookmarkStart w:id="22" w:name="_Toc23402418"/>
      <w:bookmarkStart w:id="23" w:name="_Toc54968110"/>
      <w:bookmarkStart w:id="24" w:name="_Toc57532437"/>
      <w:bookmarkStart w:id="25" w:name="_Toc23402388"/>
      <w:bookmarkStart w:id="26" w:name="_Toc44311891"/>
      <w:bookmarkStart w:id="27" w:name="_Toc54930305"/>
      <w:bookmarkStart w:id="28" w:name="_Toc57236432"/>
      <w:bookmarkStart w:id="29" w:name="_Toc50536533"/>
      <w:bookmarkStart w:id="30" w:name="_Toc16839382"/>
      <w:r>
        <w:t>6.0</w:t>
      </w:r>
      <w:r>
        <w:tab/>
        <w:t>Mapping of Solutions to Key Issues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5BDB5514" w14:textId="77777777" w:rsidR="000D4CBB" w:rsidRDefault="00000000">
      <w:pPr>
        <w:pStyle w:val="TH"/>
      </w:pPr>
      <w:r>
        <w:t>Table 6.0-1: Mapping of Solutions to Key Issues</w:t>
      </w:r>
    </w:p>
    <w:tbl>
      <w:tblPr>
        <w:tblW w:w="10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3"/>
        <w:gridCol w:w="806"/>
        <w:gridCol w:w="806"/>
        <w:gridCol w:w="805"/>
        <w:gridCol w:w="805"/>
        <w:gridCol w:w="805"/>
        <w:gridCol w:w="805"/>
        <w:gridCol w:w="805"/>
        <w:gridCol w:w="805"/>
        <w:gridCol w:w="805"/>
      </w:tblGrid>
      <w:tr w:rsidR="000D4CBB" w14:paraId="4A56F5DA" w14:textId="77777777">
        <w:trPr>
          <w:cantSplit/>
        </w:trPr>
        <w:tc>
          <w:tcPr>
            <w:tcW w:w="2913" w:type="dxa"/>
            <w:tcBorders>
              <w:bottom w:val="nil"/>
            </w:tcBorders>
          </w:tcPr>
          <w:p w14:paraId="085BB576" w14:textId="77777777" w:rsidR="000D4CBB" w:rsidRDefault="00000000">
            <w:pPr>
              <w:pStyle w:val="TAH"/>
              <w:rPr>
                <w:sz w:val="16"/>
                <w:szCs w:val="16"/>
              </w:rPr>
            </w:pPr>
            <w:r>
              <w:rPr>
                <w:sz w:val="16"/>
                <w:szCs w:val="16"/>
              </w:rPr>
              <w:t>Solutions</w:t>
            </w:r>
          </w:p>
        </w:tc>
        <w:tc>
          <w:tcPr>
            <w:tcW w:w="7247" w:type="dxa"/>
            <w:gridSpan w:val="9"/>
          </w:tcPr>
          <w:p w14:paraId="414D3780" w14:textId="77777777" w:rsidR="000D4CBB" w:rsidRDefault="00000000">
            <w:pPr>
              <w:pStyle w:val="TAH"/>
              <w:rPr>
                <w:sz w:val="16"/>
                <w:szCs w:val="16"/>
              </w:rPr>
            </w:pPr>
            <w:r>
              <w:rPr>
                <w:sz w:val="16"/>
                <w:szCs w:val="16"/>
              </w:rPr>
              <w:t>Key Issue #</w:t>
            </w:r>
          </w:p>
        </w:tc>
      </w:tr>
      <w:tr w:rsidR="000D4CBB" w14:paraId="73CC26E4" w14:textId="77777777">
        <w:trPr>
          <w:cantSplit/>
        </w:trPr>
        <w:tc>
          <w:tcPr>
            <w:tcW w:w="2913" w:type="dxa"/>
            <w:tcBorders>
              <w:top w:val="nil"/>
            </w:tcBorders>
          </w:tcPr>
          <w:p w14:paraId="0522898F" w14:textId="77777777" w:rsidR="000D4CBB" w:rsidRDefault="000D4CBB">
            <w:pPr>
              <w:pStyle w:val="TAH"/>
              <w:rPr>
                <w:sz w:val="16"/>
                <w:szCs w:val="16"/>
              </w:rPr>
            </w:pPr>
          </w:p>
        </w:tc>
        <w:tc>
          <w:tcPr>
            <w:tcW w:w="806" w:type="dxa"/>
          </w:tcPr>
          <w:p w14:paraId="1903F2DE" w14:textId="77777777" w:rsidR="000D4CBB" w:rsidRDefault="00000000">
            <w:pPr>
              <w:pStyle w:val="TAH"/>
              <w:rPr>
                <w:sz w:val="16"/>
                <w:szCs w:val="16"/>
              </w:rPr>
            </w:pPr>
            <w:r>
              <w:rPr>
                <w:sz w:val="16"/>
                <w:szCs w:val="16"/>
              </w:rPr>
              <w:t>&lt;KI #1&gt;</w:t>
            </w:r>
          </w:p>
        </w:tc>
        <w:tc>
          <w:tcPr>
            <w:tcW w:w="806" w:type="dxa"/>
          </w:tcPr>
          <w:p w14:paraId="4788DFCD" w14:textId="77777777" w:rsidR="000D4CBB" w:rsidRDefault="00000000">
            <w:pPr>
              <w:pStyle w:val="TAH"/>
              <w:rPr>
                <w:sz w:val="16"/>
                <w:szCs w:val="16"/>
              </w:rPr>
            </w:pPr>
            <w:r>
              <w:rPr>
                <w:sz w:val="16"/>
                <w:szCs w:val="16"/>
              </w:rPr>
              <w:t>&lt;KI#2&gt;</w:t>
            </w:r>
          </w:p>
        </w:tc>
        <w:tc>
          <w:tcPr>
            <w:tcW w:w="805" w:type="dxa"/>
          </w:tcPr>
          <w:p w14:paraId="68FE9B4E" w14:textId="77777777" w:rsidR="000D4CBB" w:rsidRDefault="00000000">
            <w:pPr>
              <w:pStyle w:val="TAH"/>
              <w:rPr>
                <w:sz w:val="16"/>
                <w:szCs w:val="16"/>
              </w:rPr>
            </w:pPr>
            <w:r>
              <w:rPr>
                <w:sz w:val="16"/>
                <w:szCs w:val="16"/>
              </w:rPr>
              <w:t>&lt;KI#3&gt;</w:t>
            </w:r>
          </w:p>
        </w:tc>
        <w:tc>
          <w:tcPr>
            <w:tcW w:w="805" w:type="dxa"/>
          </w:tcPr>
          <w:p w14:paraId="0A98E564" w14:textId="77777777" w:rsidR="000D4CBB" w:rsidRDefault="00000000">
            <w:pPr>
              <w:pStyle w:val="TAH"/>
              <w:rPr>
                <w:sz w:val="16"/>
                <w:szCs w:val="16"/>
              </w:rPr>
            </w:pPr>
            <w:r>
              <w:rPr>
                <w:sz w:val="16"/>
                <w:szCs w:val="16"/>
              </w:rPr>
              <w:t>&lt;KI#4&gt;</w:t>
            </w:r>
          </w:p>
        </w:tc>
        <w:tc>
          <w:tcPr>
            <w:tcW w:w="805" w:type="dxa"/>
          </w:tcPr>
          <w:p w14:paraId="26A4EFF1" w14:textId="77777777" w:rsidR="000D4CBB" w:rsidRDefault="00000000">
            <w:pPr>
              <w:pStyle w:val="TAH"/>
              <w:rPr>
                <w:sz w:val="16"/>
                <w:szCs w:val="16"/>
              </w:rPr>
            </w:pPr>
            <w:r>
              <w:rPr>
                <w:sz w:val="16"/>
                <w:szCs w:val="16"/>
              </w:rPr>
              <w:t>&lt;KI#5&gt;</w:t>
            </w:r>
          </w:p>
        </w:tc>
        <w:tc>
          <w:tcPr>
            <w:tcW w:w="805" w:type="dxa"/>
          </w:tcPr>
          <w:p w14:paraId="2095B663" w14:textId="77777777" w:rsidR="000D4CBB" w:rsidRDefault="00000000">
            <w:pPr>
              <w:pStyle w:val="TAH"/>
              <w:rPr>
                <w:sz w:val="16"/>
                <w:szCs w:val="16"/>
              </w:rPr>
            </w:pPr>
            <w:r>
              <w:rPr>
                <w:sz w:val="16"/>
                <w:szCs w:val="16"/>
              </w:rPr>
              <w:t>&lt;KI#6&gt;</w:t>
            </w:r>
          </w:p>
        </w:tc>
        <w:tc>
          <w:tcPr>
            <w:tcW w:w="805" w:type="dxa"/>
          </w:tcPr>
          <w:p w14:paraId="2A82B288" w14:textId="77777777" w:rsidR="000D4CBB" w:rsidRDefault="00000000">
            <w:pPr>
              <w:pStyle w:val="TAH"/>
              <w:rPr>
                <w:sz w:val="16"/>
                <w:szCs w:val="16"/>
              </w:rPr>
            </w:pPr>
            <w:r>
              <w:rPr>
                <w:sz w:val="16"/>
                <w:szCs w:val="16"/>
              </w:rPr>
              <w:t>&lt;KI#7&gt;</w:t>
            </w:r>
          </w:p>
        </w:tc>
        <w:tc>
          <w:tcPr>
            <w:tcW w:w="805" w:type="dxa"/>
          </w:tcPr>
          <w:p w14:paraId="7307D894" w14:textId="77777777" w:rsidR="000D4CBB" w:rsidRDefault="00000000">
            <w:pPr>
              <w:pStyle w:val="TAH"/>
              <w:rPr>
                <w:sz w:val="16"/>
                <w:szCs w:val="16"/>
              </w:rPr>
            </w:pPr>
            <w:r>
              <w:rPr>
                <w:sz w:val="16"/>
                <w:szCs w:val="16"/>
              </w:rPr>
              <w:t>&lt;KI#8&gt;</w:t>
            </w:r>
          </w:p>
        </w:tc>
        <w:tc>
          <w:tcPr>
            <w:tcW w:w="805" w:type="dxa"/>
          </w:tcPr>
          <w:p w14:paraId="0F0CA96B" w14:textId="77777777" w:rsidR="000D4CBB" w:rsidRDefault="00000000">
            <w:pPr>
              <w:pStyle w:val="TAH"/>
              <w:rPr>
                <w:sz w:val="16"/>
                <w:szCs w:val="16"/>
              </w:rPr>
            </w:pPr>
            <w:r>
              <w:rPr>
                <w:sz w:val="16"/>
                <w:szCs w:val="16"/>
              </w:rPr>
              <w:t>&lt;KI#9&gt;</w:t>
            </w:r>
          </w:p>
        </w:tc>
      </w:tr>
      <w:tr w:rsidR="000D4CBB" w14:paraId="052CBCB7" w14:textId="77777777">
        <w:trPr>
          <w:cantSplit/>
        </w:trPr>
        <w:tc>
          <w:tcPr>
            <w:tcW w:w="2913" w:type="dxa"/>
          </w:tcPr>
          <w:p w14:paraId="79FCDB6E" w14:textId="77777777" w:rsidR="000D4CBB" w:rsidRDefault="00000000">
            <w:pPr>
              <w:pStyle w:val="TAL"/>
              <w:rPr>
                <w:sz w:val="16"/>
                <w:szCs w:val="16"/>
              </w:rPr>
            </w:pPr>
            <w:ins w:id="31" w:author="Curt" w:date="2024-02-13T19:27:00Z">
              <w:r>
                <w:rPr>
                  <w:sz w:val="16"/>
                  <w:szCs w:val="16"/>
                </w:rPr>
                <w:t>#x: Data rate limit information exposure to AS/AF</w:t>
              </w:r>
            </w:ins>
          </w:p>
        </w:tc>
        <w:tc>
          <w:tcPr>
            <w:tcW w:w="806" w:type="dxa"/>
          </w:tcPr>
          <w:p w14:paraId="747B0CA9" w14:textId="77777777" w:rsidR="000D4CBB" w:rsidRDefault="000D4CBB">
            <w:pPr>
              <w:pStyle w:val="TAC"/>
              <w:rPr>
                <w:sz w:val="16"/>
                <w:szCs w:val="16"/>
              </w:rPr>
            </w:pPr>
          </w:p>
        </w:tc>
        <w:tc>
          <w:tcPr>
            <w:tcW w:w="806" w:type="dxa"/>
          </w:tcPr>
          <w:p w14:paraId="2FA1996B" w14:textId="77777777" w:rsidR="000D4CBB" w:rsidRDefault="000D4CBB">
            <w:pPr>
              <w:pStyle w:val="TAC"/>
              <w:rPr>
                <w:sz w:val="16"/>
                <w:szCs w:val="16"/>
              </w:rPr>
            </w:pPr>
          </w:p>
        </w:tc>
        <w:tc>
          <w:tcPr>
            <w:tcW w:w="805" w:type="dxa"/>
          </w:tcPr>
          <w:p w14:paraId="6587789B" w14:textId="77777777" w:rsidR="000D4CBB" w:rsidRDefault="000D4CBB">
            <w:pPr>
              <w:pStyle w:val="TAC"/>
              <w:rPr>
                <w:sz w:val="16"/>
                <w:szCs w:val="16"/>
              </w:rPr>
            </w:pPr>
          </w:p>
        </w:tc>
        <w:tc>
          <w:tcPr>
            <w:tcW w:w="805" w:type="dxa"/>
          </w:tcPr>
          <w:p w14:paraId="192AD13D" w14:textId="77777777" w:rsidR="000D4CBB" w:rsidRDefault="000D4CBB">
            <w:pPr>
              <w:pStyle w:val="TAC"/>
              <w:rPr>
                <w:sz w:val="16"/>
                <w:szCs w:val="16"/>
              </w:rPr>
            </w:pPr>
          </w:p>
        </w:tc>
        <w:tc>
          <w:tcPr>
            <w:tcW w:w="805" w:type="dxa"/>
          </w:tcPr>
          <w:p w14:paraId="1AA9DF76" w14:textId="77777777" w:rsidR="000D4CBB" w:rsidRDefault="000D4CBB">
            <w:pPr>
              <w:pStyle w:val="TAC"/>
              <w:rPr>
                <w:sz w:val="16"/>
                <w:szCs w:val="16"/>
              </w:rPr>
            </w:pPr>
          </w:p>
        </w:tc>
        <w:tc>
          <w:tcPr>
            <w:tcW w:w="805" w:type="dxa"/>
          </w:tcPr>
          <w:p w14:paraId="01EE8498" w14:textId="77777777" w:rsidR="000D4CBB" w:rsidRDefault="000D4CBB">
            <w:pPr>
              <w:pStyle w:val="TAC"/>
              <w:rPr>
                <w:sz w:val="16"/>
                <w:szCs w:val="16"/>
              </w:rPr>
            </w:pPr>
          </w:p>
        </w:tc>
        <w:tc>
          <w:tcPr>
            <w:tcW w:w="805" w:type="dxa"/>
          </w:tcPr>
          <w:p w14:paraId="36615CB6" w14:textId="77777777" w:rsidR="000D4CBB" w:rsidRDefault="000D4CBB">
            <w:pPr>
              <w:pStyle w:val="TAC"/>
              <w:rPr>
                <w:sz w:val="16"/>
                <w:szCs w:val="16"/>
              </w:rPr>
            </w:pPr>
          </w:p>
        </w:tc>
        <w:tc>
          <w:tcPr>
            <w:tcW w:w="805" w:type="dxa"/>
          </w:tcPr>
          <w:p w14:paraId="502E9360" w14:textId="77777777" w:rsidR="000D4CBB" w:rsidRDefault="000D4CBB">
            <w:pPr>
              <w:pStyle w:val="TAC"/>
              <w:rPr>
                <w:sz w:val="16"/>
                <w:szCs w:val="16"/>
              </w:rPr>
            </w:pPr>
          </w:p>
        </w:tc>
        <w:tc>
          <w:tcPr>
            <w:tcW w:w="805" w:type="dxa"/>
          </w:tcPr>
          <w:p w14:paraId="25D8B1E1" w14:textId="77777777" w:rsidR="000D4CBB" w:rsidRDefault="00000000">
            <w:pPr>
              <w:pStyle w:val="TAC"/>
              <w:rPr>
                <w:sz w:val="16"/>
                <w:szCs w:val="16"/>
              </w:rPr>
            </w:pPr>
            <w:ins w:id="32" w:author="Curt" w:date="2024-02-13T19:28:00Z">
              <w:r>
                <w:rPr>
                  <w:sz w:val="16"/>
                  <w:szCs w:val="16"/>
                </w:rPr>
                <w:t>x</w:t>
              </w:r>
            </w:ins>
          </w:p>
        </w:tc>
      </w:tr>
    </w:tbl>
    <w:p w14:paraId="20505FE5" w14:textId="77777777" w:rsidR="000D4CBB" w:rsidRDefault="000D4CBB">
      <w:pPr>
        <w:rPr>
          <w:lang w:val="en-US" w:eastAsia="zh-CN"/>
        </w:rPr>
      </w:pPr>
      <w:bookmarkStart w:id="33" w:name="_Toc500949097"/>
      <w:bookmarkStart w:id="34" w:name="_Toc93070684"/>
      <w:bookmarkStart w:id="35" w:name="_Toc92875660"/>
      <w:bookmarkStart w:id="36" w:name="_Toc148498832"/>
    </w:p>
    <w:p w14:paraId="467B9C7F" w14:textId="77777777" w:rsidR="000D4CBB" w:rsidRDefault="00000000">
      <w:pPr>
        <w:rPr>
          <w:lang w:val="en-US" w:eastAsia="zh-CN"/>
        </w:rPr>
      </w:pPr>
      <w:r>
        <w:rPr>
          <w:lang w:val="en-US" w:eastAsia="zh-CN"/>
        </w:rPr>
        <w:t xml:space="preserve">*** </w:t>
      </w:r>
      <w:r>
        <w:rPr>
          <w:highlight w:val="yellow"/>
          <w:lang w:val="en-US" w:eastAsia="zh-CN"/>
        </w:rPr>
        <w:t>all new texts below</w:t>
      </w:r>
      <w:r>
        <w:rPr>
          <w:lang w:val="en-US" w:eastAsia="zh-CN"/>
        </w:rPr>
        <w:t xml:space="preserve"> ***</w:t>
      </w:r>
    </w:p>
    <w:p w14:paraId="0F2F98D8" w14:textId="77777777" w:rsidR="000D4CBB" w:rsidRDefault="00000000">
      <w:pPr>
        <w:pStyle w:val="Heading2"/>
      </w:pPr>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33"/>
      <w:r>
        <w:t>Data rate limit information exposure to AS/AF</w:t>
      </w:r>
      <w:bookmarkEnd w:id="34"/>
      <w:bookmarkEnd w:id="35"/>
      <w:bookmarkEnd w:id="36"/>
    </w:p>
    <w:p w14:paraId="30074EBE" w14:textId="77777777" w:rsidR="000D4CBB" w:rsidRDefault="00000000">
      <w:pPr>
        <w:pStyle w:val="Heading3"/>
      </w:pPr>
      <w:bookmarkStart w:id="37" w:name="_Toc92875661"/>
      <w:bookmarkStart w:id="38" w:name="_Toc500949098"/>
      <w:bookmarkStart w:id="39" w:name="_Toc93070685"/>
      <w:bookmarkStart w:id="40" w:name="_Toc148498833"/>
      <w:r>
        <w:t>6.</w:t>
      </w:r>
      <w:r>
        <w:rPr>
          <w:rFonts w:hint="eastAsia"/>
        </w:rPr>
        <w:t>X</w:t>
      </w:r>
      <w:r>
        <w:t>.</w:t>
      </w:r>
      <w:r>
        <w:rPr>
          <w:rFonts w:hint="eastAsia"/>
        </w:rPr>
        <w:t>1</w:t>
      </w:r>
      <w:r>
        <w:rPr>
          <w:rFonts w:hint="eastAsia"/>
        </w:rPr>
        <w:tab/>
      </w:r>
      <w:r>
        <w:t>Key Issue mapping</w:t>
      </w:r>
      <w:bookmarkEnd w:id="37"/>
      <w:bookmarkEnd w:id="38"/>
      <w:bookmarkEnd w:id="39"/>
      <w:bookmarkEnd w:id="40"/>
    </w:p>
    <w:p w14:paraId="23649250" w14:textId="77777777" w:rsidR="000D4CBB" w:rsidRDefault="00000000">
      <w:pPr>
        <w:rPr>
          <w:lang w:eastAsia="zh-CN"/>
        </w:rPr>
      </w:pPr>
      <w:r>
        <w:rPr>
          <w:lang w:eastAsia="zh-CN"/>
        </w:rPr>
        <w:t>This solution is for Key Issue #9, which enables XR related network information exposure towards the application layer.</w:t>
      </w:r>
    </w:p>
    <w:p w14:paraId="644DBEE2" w14:textId="77777777" w:rsidR="000D4CBB" w:rsidRDefault="00000000">
      <w:pPr>
        <w:pStyle w:val="Heading3"/>
      </w:pPr>
      <w:bookmarkStart w:id="41" w:name="_Toc93070686"/>
      <w:bookmarkStart w:id="42" w:name="_Toc500949099"/>
      <w:bookmarkStart w:id="43" w:name="_Toc148498834"/>
      <w:bookmarkStart w:id="44" w:name="_Toc92875662"/>
      <w:r>
        <w:t>6.</w:t>
      </w:r>
      <w:r>
        <w:rPr>
          <w:rFonts w:hint="eastAsia"/>
        </w:rPr>
        <w:t>X</w:t>
      </w:r>
      <w:r>
        <w:t>.2</w:t>
      </w:r>
      <w:r>
        <w:rPr>
          <w:rFonts w:hint="eastAsia"/>
        </w:rPr>
        <w:tab/>
        <w:t>Description</w:t>
      </w:r>
      <w:bookmarkEnd w:id="41"/>
      <w:bookmarkEnd w:id="42"/>
      <w:bookmarkEnd w:id="43"/>
      <w:bookmarkEnd w:id="44"/>
    </w:p>
    <w:p w14:paraId="15A0CA4F" w14:textId="77777777" w:rsidR="000D4CBB" w:rsidRDefault="00000000">
      <w:pPr>
        <w:rPr>
          <w:lang w:val="en-US" w:eastAsia="zh-CN"/>
        </w:rPr>
      </w:pPr>
      <w:r>
        <w:rPr>
          <w:lang w:eastAsia="zh-CN"/>
        </w:rPr>
        <w:t xml:space="preserve">For media steaming application, multiple codec rate can be selected based on bandwidth estimation by the application layer. If the network invokes rate limiting function toward a particular UE, it could affect the speed /time it takes to find the right codec rate which affect the overall user experiences. </w:t>
      </w:r>
      <w:ins w:id="45" w:author="LEI" w:date="2024-03-27T11:19:00Z">
        <w:r>
          <w:rPr>
            <w:rFonts w:hint="eastAsia"/>
            <w:lang w:val="en-US" w:eastAsia="zh-CN"/>
          </w:rPr>
          <w:t>F</w:t>
        </w:r>
        <w:r>
          <w:rPr>
            <w:lang w:val="en-US" w:eastAsia="zh-CN"/>
          </w:rPr>
          <w:t xml:space="preserve">or example, </w:t>
        </w:r>
      </w:ins>
      <w:r>
        <w:rPr>
          <w:lang w:eastAsia="zh-CN"/>
        </w:rPr>
        <w:t>UPF, when invoking the DL rate limiting function, may include this rate limit information toward the AF/AS via the user plane.</w:t>
      </w:r>
      <w:ins w:id="46" w:author="LEI" w:date="2024-03-27T11:20:00Z">
        <w:r>
          <w:rPr>
            <w:lang w:val="en-US" w:eastAsia="zh-CN"/>
          </w:rPr>
          <w:t xml:space="preserve"> The 5GS may also expose the AMBR info to the trusted third p</w:t>
        </w:r>
      </w:ins>
      <w:ins w:id="47" w:author="LEI" w:date="2024-03-27T11:21:00Z">
        <w:r>
          <w:rPr>
            <w:lang w:val="en-US" w:eastAsia="zh-CN"/>
          </w:rPr>
          <w:t>arty which can also be used to derive the rate limiting information.</w:t>
        </w:r>
      </w:ins>
    </w:p>
    <w:p w14:paraId="547DE2E2" w14:textId="77777777" w:rsidR="000D4CBB" w:rsidRDefault="00000000">
      <w:pPr>
        <w:pStyle w:val="Heading3"/>
      </w:pPr>
      <w:r>
        <w:t>6.X.3</w:t>
      </w:r>
      <w:r>
        <w:tab/>
        <w:t>Procedures</w:t>
      </w:r>
    </w:p>
    <w:p w14:paraId="5087EAC3" w14:textId="4712B5EE" w:rsidR="000D4CBB" w:rsidRDefault="00000000" w:rsidP="000D4CBB">
      <w:pPr>
        <w:rPr>
          <w:ins w:id="48" w:author="LEI" w:date="2024-03-27T11:35:00Z"/>
          <w:lang w:eastAsia="zh-CN"/>
        </w:rPr>
        <w:pPrChange w:id="49" w:author="LEI" w:date="2024-03-27T11:35:00Z">
          <w:pPr>
            <w:jc w:val="center"/>
          </w:pPr>
        </w:pPrChange>
      </w:pPr>
      <w:r>
        <w:rPr>
          <w:lang w:eastAsia="zh-CN"/>
        </w:rPr>
        <w:t xml:space="preserve">The solution is to allow </w:t>
      </w:r>
      <w:del w:id="50" w:author="LEI" w:date="2024-03-27T11:35:00Z">
        <w:r>
          <w:rPr>
            <w:lang w:val="en-US" w:eastAsia="zh-CN"/>
          </w:rPr>
          <w:delText>UPF</w:delText>
        </w:r>
      </w:del>
      <w:ins w:id="51" w:author="LEI" w:date="2024-03-27T11:35:00Z">
        <w:r>
          <w:rPr>
            <w:lang w:val="en-US" w:eastAsia="zh-CN"/>
          </w:rPr>
          <w:t>5GS</w:t>
        </w:r>
      </w:ins>
      <w:r>
        <w:rPr>
          <w:lang w:eastAsia="zh-CN"/>
        </w:rPr>
        <w:t xml:space="preserve"> to indicate the rate limiting information, via </w:t>
      </w:r>
      <w:proofErr w:type="spellStart"/>
      <w:r>
        <w:rPr>
          <w:lang w:eastAsia="zh-CN"/>
        </w:rPr>
        <w:t>inband</w:t>
      </w:r>
      <w:proofErr w:type="spellEnd"/>
      <w:r>
        <w:rPr>
          <w:lang w:eastAsia="zh-CN"/>
        </w:rPr>
        <w:t>, to AS/AF as follow:</w:t>
      </w:r>
    </w:p>
    <w:p w14:paraId="0946276A" w14:textId="77777777" w:rsidR="000D4CBB" w:rsidRDefault="00000000">
      <w:pPr>
        <w:jc w:val="center"/>
        <w:rPr>
          <w:lang w:eastAsia="zh-CN"/>
        </w:rPr>
      </w:pPr>
      <w:ins w:id="52" w:author="LEI" w:date="2024-03-27T11:35:00Z">
        <w:r>
          <w:rPr>
            <w:noProof/>
          </w:rPr>
          <w:drawing>
            <wp:inline distT="0" distB="0" distL="114300" distR="114300" wp14:anchorId="50D64851" wp14:editId="47A12185">
              <wp:extent cx="4988560" cy="2611120"/>
              <wp:effectExtent l="0" t="0" r="152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4988560" cy="2611120"/>
                      </a:xfrm>
                      <a:prstGeom prst="rect">
                        <a:avLst/>
                      </a:prstGeom>
                      <a:noFill/>
                      <a:ln>
                        <a:noFill/>
                      </a:ln>
                    </pic:spPr>
                  </pic:pic>
                </a:graphicData>
              </a:graphic>
            </wp:inline>
          </w:drawing>
        </w:r>
      </w:ins>
    </w:p>
    <w:p w14:paraId="6362C88D" w14:textId="77777777" w:rsidR="000D4CBB" w:rsidRDefault="00000000">
      <w:pPr>
        <w:pStyle w:val="TF"/>
        <w:rPr>
          <w:lang w:eastAsia="zh-CN"/>
        </w:rPr>
      </w:pPr>
      <w:r>
        <w:t>Figure 6.x.3-1: DL rate limit exposure to AS/AF</w:t>
      </w:r>
    </w:p>
    <w:p w14:paraId="30A3E5B1" w14:textId="77777777" w:rsidR="000D4CBB" w:rsidRDefault="000D4CBB" w:rsidP="000D4CBB">
      <w:pPr>
        <w:pStyle w:val="B1"/>
        <w:numPr>
          <w:ilvl w:val="255"/>
          <w:numId w:val="0"/>
        </w:numPr>
        <w:ind w:left="284"/>
        <w:rPr>
          <w:lang w:val="en-US"/>
        </w:rPr>
        <w:pPrChange w:id="53" w:author="LEI" w:date="2024-03-27T11:36:00Z">
          <w:pPr>
            <w:pStyle w:val="B1"/>
            <w:numPr>
              <w:numId w:val="1"/>
            </w:numPr>
            <w:ind w:left="644" w:hanging="360"/>
          </w:pPr>
        </w:pPrChange>
      </w:pPr>
    </w:p>
    <w:p w14:paraId="1AAF8501" w14:textId="77777777" w:rsidR="000D4CBB" w:rsidRDefault="00000000">
      <w:pPr>
        <w:pStyle w:val="B1"/>
        <w:numPr>
          <w:ilvl w:val="0"/>
          <w:numId w:val="2"/>
          <w:ins w:id="54" w:author="LEI" w:date="2024-03-27T11:36:00Z"/>
        </w:numPr>
        <w:ind w:left="284" w:firstLine="0"/>
      </w:pPr>
      <w:r>
        <w:rPr>
          <w:lang w:val="en-US" w:eastAsia="zh-CN"/>
        </w:rPr>
        <w:t xml:space="preserve"> </w:t>
      </w:r>
      <w:r>
        <w:rPr>
          <w:rFonts w:hint="eastAsia"/>
          <w:lang w:val="en-US" w:eastAsia="zh-CN"/>
        </w:rPr>
        <w:t xml:space="preserve">AF/AS subscribes to 5GS for exposure of rate limiting </w:t>
      </w:r>
      <w:r>
        <w:rPr>
          <w:lang w:val="en-US" w:eastAsia="zh-CN"/>
        </w:rPr>
        <w:t xml:space="preserve">&amp; AMBR </w:t>
      </w:r>
      <w:r>
        <w:rPr>
          <w:rFonts w:hint="eastAsia"/>
          <w:lang w:val="en-US" w:eastAsia="zh-CN"/>
        </w:rPr>
        <w:t>information.</w:t>
      </w:r>
    </w:p>
    <w:p w14:paraId="5A8E38B3" w14:textId="77777777" w:rsidR="000D4CBB" w:rsidRDefault="00000000">
      <w:pPr>
        <w:pStyle w:val="B1"/>
        <w:numPr>
          <w:ilvl w:val="0"/>
          <w:numId w:val="1"/>
        </w:numPr>
      </w:pPr>
      <w:r>
        <w:t>The application in the UE is sending user data in the UL direction to the AS.</w:t>
      </w:r>
    </w:p>
    <w:p w14:paraId="1D2213DB" w14:textId="77777777" w:rsidR="000D4CBB" w:rsidRDefault="000D4CBB">
      <w:pPr>
        <w:pStyle w:val="B1"/>
        <w:ind w:left="284" w:firstLine="0"/>
      </w:pPr>
    </w:p>
    <w:p w14:paraId="3F607075" w14:textId="77777777" w:rsidR="000D4CBB" w:rsidRDefault="00000000">
      <w:pPr>
        <w:pStyle w:val="B1"/>
        <w:numPr>
          <w:ilvl w:val="0"/>
          <w:numId w:val="1"/>
        </w:numPr>
      </w:pPr>
      <w:ins w:id="55" w:author="LEI" w:date="2024-03-27T11:37:00Z">
        <w:r>
          <w:rPr>
            <w:lang w:val="en-US"/>
          </w:rPr>
          <w:t xml:space="preserve">5GS e.g. </w:t>
        </w:r>
      </w:ins>
      <w:r>
        <w:t xml:space="preserve">UPF, based on existing operator defined rate shaping policy, determines that </w:t>
      </w:r>
      <w:del w:id="56" w:author="LEI" w:date="2024-03-27T11:37:00Z">
        <w:r>
          <w:delText xml:space="preserve">DL </w:delText>
        </w:r>
      </w:del>
      <w:r>
        <w:t>data rate for this UE can’t exceed certain threshold (</w:t>
      </w:r>
      <w:proofErr w:type="spellStart"/>
      <w:r>
        <w:t>e.g</w:t>
      </w:r>
      <w:proofErr w:type="spellEnd"/>
      <w:r>
        <w:t xml:space="preserve">, 2MB/s). </w:t>
      </w:r>
      <w:ins w:id="57" w:author="LEI" w:date="2024-03-27T11:37:00Z">
        <w:r>
          <w:rPr>
            <w:lang w:val="en-US"/>
          </w:rPr>
          <w:t>5GS entity can also obtain the AMBR for the</w:t>
        </w:r>
      </w:ins>
      <w:ins w:id="58" w:author="LEI" w:date="2024-03-27T11:38:00Z">
        <w:r>
          <w:rPr>
            <w:lang w:val="en-US"/>
          </w:rPr>
          <w:t xml:space="preserve"> UE and PDU session.</w:t>
        </w:r>
      </w:ins>
    </w:p>
    <w:p w14:paraId="71C6FF4F" w14:textId="77777777" w:rsidR="000D4CBB" w:rsidRDefault="00000000">
      <w:pPr>
        <w:pStyle w:val="NO"/>
      </w:pPr>
      <w:r>
        <w:t xml:space="preserve">NOTE: </w:t>
      </w:r>
      <w:r>
        <w:tab/>
        <w:t xml:space="preserve">Internal trigger maybe based on </w:t>
      </w:r>
      <w:proofErr w:type="spellStart"/>
      <w:r>
        <w:t>e.g</w:t>
      </w:r>
      <w:proofErr w:type="spellEnd"/>
      <w:r>
        <w:t xml:space="preserve">, checking Server Name Indication (SNI) in TLS protocol to ensure AS provider and operator has SLA in place to receive this rate limiting information. Other triggering mechanism, based on implementation, is not excluded. </w:t>
      </w:r>
    </w:p>
    <w:p w14:paraId="7A3D6C7C" w14:textId="77777777" w:rsidR="000D4CBB" w:rsidRDefault="00000000">
      <w:pPr>
        <w:pStyle w:val="B1"/>
        <w:rPr>
          <w:lang w:val="en-US" w:eastAsia="zh-CN"/>
        </w:rPr>
      </w:pPr>
      <w:r>
        <w:t>3.</w:t>
      </w:r>
      <w:r>
        <w:tab/>
      </w:r>
      <w:ins w:id="59" w:author="LEI" w:date="2024-03-27T11:38:00Z">
        <w:r>
          <w:rPr>
            <w:lang w:val="en-US"/>
          </w:rPr>
          <w:t xml:space="preserve">5GS e.g. </w:t>
        </w:r>
      </w:ins>
      <w:r>
        <w:t xml:space="preserve">UPF includes the </w:t>
      </w:r>
      <w:del w:id="60" w:author="LEI" w:date="2024-03-27T11:38:00Z">
        <w:r>
          <w:delText xml:space="preserve">DL </w:delText>
        </w:r>
      </w:del>
      <w:r>
        <w:t>rate limiting information as data exposure elements to the AF/AS via user-plane.</w:t>
      </w:r>
      <w:ins w:id="61" w:author="LEI" w:date="2024-03-18T16:25:00Z">
        <w:r>
          <w:rPr>
            <w:rFonts w:hint="eastAsia"/>
            <w:lang w:val="en-US" w:eastAsia="zh-CN"/>
          </w:rPr>
          <w:t xml:space="preserve">  </w:t>
        </w:r>
      </w:ins>
      <w:ins w:id="62" w:author="LEI" w:date="2024-03-27T11:38:00Z">
        <w:r>
          <w:rPr>
            <w:lang w:val="en-US" w:eastAsia="zh-CN"/>
          </w:rPr>
          <w:t>5GS</w:t>
        </w:r>
      </w:ins>
      <w:ins w:id="63" w:author="LEI" w:date="2024-03-18T16:25:00Z">
        <w:r>
          <w:rPr>
            <w:rFonts w:hint="eastAsia"/>
            <w:lang w:val="en-US" w:eastAsia="zh-CN"/>
          </w:rPr>
          <w:t xml:space="preserve"> can also </w:t>
        </w:r>
        <w:proofErr w:type="spellStart"/>
        <w:r>
          <w:rPr>
            <w:rFonts w:hint="eastAsia"/>
            <w:lang w:val="en-US" w:eastAsia="zh-CN"/>
          </w:rPr>
          <w:t>provide</w:t>
        </w:r>
      </w:ins>
      <w:ins w:id="64" w:author="LEI" w:date="2024-03-18T16:26:00Z">
        <w:r>
          <w:rPr>
            <w:rFonts w:hint="eastAsia"/>
            <w:lang w:val="en-US" w:eastAsia="zh-CN"/>
          </w:rPr>
          <w:t>s</w:t>
        </w:r>
        <w:proofErr w:type="spellEnd"/>
        <w:r>
          <w:rPr>
            <w:rFonts w:hint="eastAsia"/>
            <w:lang w:val="en-US" w:eastAsia="zh-CN"/>
          </w:rPr>
          <w:t xml:space="preserve"> the UE AMBR or session AMBR to the AS/AF.</w:t>
        </w:r>
      </w:ins>
    </w:p>
    <w:p w14:paraId="0E35C3E5" w14:textId="77777777" w:rsidR="000D4CBB" w:rsidRDefault="000D4CBB">
      <w:pPr>
        <w:pStyle w:val="B1"/>
      </w:pPr>
    </w:p>
    <w:p w14:paraId="3FA8E0B0" w14:textId="77777777" w:rsidR="000D4CBB" w:rsidRDefault="00000000">
      <w:pPr>
        <w:pStyle w:val="B1"/>
      </w:pPr>
      <w:r>
        <w:t>4.</w:t>
      </w:r>
      <w:r>
        <w:tab/>
        <w:t>Application in the AS uses this DL rate limiting information</w:t>
      </w:r>
      <w:ins w:id="65" w:author="LEI" w:date="2024-03-18T16:27:00Z">
        <w:r>
          <w:rPr>
            <w:rFonts w:hint="eastAsia"/>
            <w:lang w:val="en-US" w:eastAsia="zh-CN"/>
          </w:rPr>
          <w:t xml:space="preserve"> and UE AMBR/session AMBR</w:t>
        </w:r>
      </w:ins>
      <w:r>
        <w:t xml:space="preserve"> to perform codec rate selection with the UE.</w:t>
      </w:r>
    </w:p>
    <w:p w14:paraId="4CC09821" w14:textId="77777777" w:rsidR="000D4CBB" w:rsidRDefault="00000000">
      <w:pPr>
        <w:pStyle w:val="Heading3"/>
        <w:rPr>
          <w:lang w:eastAsia="zh-CN"/>
        </w:rPr>
      </w:pPr>
      <w:bookmarkStart w:id="66" w:name="_Toc326248711"/>
      <w:bookmarkStart w:id="67" w:name="_Toc510604409"/>
      <w:bookmarkStart w:id="68" w:name="_Toc92875664"/>
      <w:bookmarkStart w:id="69" w:name="_Toc93070688"/>
      <w:bookmarkStart w:id="70" w:name="_Toc148498836"/>
      <w:r>
        <w:t>6.X.4</w:t>
      </w:r>
      <w:r>
        <w:tab/>
      </w:r>
      <w:bookmarkEnd w:id="66"/>
      <w:bookmarkEnd w:id="67"/>
      <w:bookmarkEnd w:id="68"/>
      <w:r>
        <w:t xml:space="preserve">Impacts on services, </w:t>
      </w:r>
      <w:proofErr w:type="gramStart"/>
      <w:r>
        <w:t>entities</w:t>
      </w:r>
      <w:proofErr w:type="gramEnd"/>
      <w:r>
        <w:t xml:space="preserve"> and interfaces</w:t>
      </w:r>
      <w:bookmarkEnd w:id="69"/>
      <w:bookmarkEnd w:id="70"/>
    </w:p>
    <w:p w14:paraId="1398FBD0" w14:textId="77777777" w:rsidR="000D4CBB" w:rsidRDefault="00000000">
      <w:pPr>
        <w:pStyle w:val="B1"/>
        <w:ind w:left="0" w:firstLine="0"/>
      </w:pPr>
      <w:r>
        <w:t>UPF</w:t>
      </w:r>
    </w:p>
    <w:p w14:paraId="6F011B86" w14:textId="77777777" w:rsidR="000D4CBB" w:rsidRDefault="00000000">
      <w:pPr>
        <w:pStyle w:val="B1"/>
        <w:numPr>
          <w:ilvl w:val="0"/>
          <w:numId w:val="3"/>
        </w:numPr>
        <w:contextualSpacing w:val="0"/>
      </w:pPr>
      <w:r>
        <w:t xml:space="preserve">Includes the </w:t>
      </w:r>
      <w:del w:id="71" w:author="LEI" w:date="2024-03-27T11:38:00Z">
        <w:r>
          <w:delText xml:space="preserve">DL </w:delText>
        </w:r>
      </w:del>
      <w:r>
        <w:t>rate limiting</w:t>
      </w:r>
      <w:ins w:id="72" w:author="LEI" w:date="2024-03-27T11:39:00Z">
        <w:r>
          <w:rPr>
            <w:lang w:val="en-US"/>
          </w:rPr>
          <w:t xml:space="preserve"> &amp; AMBR</w:t>
        </w:r>
      </w:ins>
      <w:r>
        <w:t xml:space="preserve"> information as an exposure data to AF/AS via </w:t>
      </w:r>
      <w:proofErr w:type="spellStart"/>
      <w:r>
        <w:t>inband</w:t>
      </w:r>
      <w:proofErr w:type="spellEnd"/>
      <w:r>
        <w:t>.</w:t>
      </w:r>
    </w:p>
    <w:p w14:paraId="1889D007" w14:textId="77777777" w:rsidR="000D4CBB" w:rsidRDefault="00000000">
      <w:pPr>
        <w:pStyle w:val="EditorsNote"/>
        <w:ind w:left="644" w:firstLine="0"/>
      </w:pPr>
      <w:r>
        <w:t>Editor’s note: Protocol to be used for including this information at N6 is FFS.</w:t>
      </w:r>
    </w:p>
    <w:p w14:paraId="79FE690B" w14:textId="77777777" w:rsidR="000D4CBB" w:rsidRDefault="000D4CBB">
      <w:pPr>
        <w:pStyle w:val="B1"/>
        <w:contextualSpacing w:val="0"/>
      </w:pPr>
    </w:p>
    <w:p w14:paraId="3010B64B" w14:textId="77777777" w:rsidR="000D4CBB" w:rsidRDefault="00000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5"/>
    <w:bookmarkEnd w:id="6"/>
    <w:bookmarkEnd w:id="7"/>
    <w:bookmarkEnd w:id="8"/>
    <w:bookmarkEnd w:id="9"/>
    <w:bookmarkEnd w:id="10"/>
    <w:bookmarkEnd w:id="11"/>
    <w:p w14:paraId="0C2E3949" w14:textId="77777777" w:rsidR="000D4CBB" w:rsidRDefault="000D4CBB">
      <w:pPr>
        <w:rPr>
          <w:lang w:val="en-US"/>
        </w:rPr>
      </w:pPr>
    </w:p>
    <w:sectPr w:rsidR="000D4CBB">
      <w:headerReference w:type="even"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4098C" w14:textId="77777777" w:rsidR="005D3A69" w:rsidRDefault="005D3A69">
      <w:pPr>
        <w:spacing w:after="0"/>
      </w:pPr>
      <w:r>
        <w:separator/>
      </w:r>
    </w:p>
  </w:endnote>
  <w:endnote w:type="continuationSeparator" w:id="0">
    <w:p w14:paraId="711EC725" w14:textId="77777777" w:rsidR="005D3A69" w:rsidRDefault="005D3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F139" w14:textId="77777777" w:rsidR="005D3A69" w:rsidRDefault="005D3A69">
      <w:pPr>
        <w:spacing w:after="0"/>
      </w:pPr>
      <w:r>
        <w:separator/>
      </w:r>
    </w:p>
  </w:footnote>
  <w:footnote w:type="continuationSeparator" w:id="0">
    <w:p w14:paraId="74DA1E63" w14:textId="77777777" w:rsidR="005D3A69" w:rsidRDefault="005D3A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80E9D" w14:textId="77777777" w:rsidR="000D4CBB" w:rsidRDefault="000D4CBB"/>
  <w:p w14:paraId="28755B01" w14:textId="77777777" w:rsidR="000D4CBB" w:rsidRDefault="000D4CB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55E7"/>
    <w:multiLevelType w:val="multilevel"/>
    <w:tmpl w:val="177D55E7"/>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38FEC00E"/>
    <w:multiLevelType w:val="singleLevel"/>
    <w:tmpl w:val="38FEC00E"/>
    <w:lvl w:ilvl="0">
      <w:numFmt w:val="decimal"/>
      <w:suff w:val="space"/>
      <w:lvlText w:val="%1."/>
      <w:lvlJc w:val="left"/>
    </w:lvl>
  </w:abstractNum>
  <w:abstractNum w:abstractNumId="2" w15:restartNumberingAfterBreak="0">
    <w:nsid w:val="3BBB349D"/>
    <w:multiLevelType w:val="multilevel"/>
    <w:tmpl w:val="3BBB349D"/>
    <w:lvl w:ilvl="0">
      <w:start w:val="6"/>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678773541">
    <w:abstractNumId w:val="0"/>
  </w:num>
  <w:num w:numId="2" w16cid:durableId="205069238">
    <w:abstractNumId w:val="1"/>
  </w:num>
  <w:num w:numId="3" w16cid:durableId="17997637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t">
    <w15:presenceInfo w15:providerId="None" w15:userId="Cu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B7CFF8DC"/>
    <w:rsid w:val="BDE9D791"/>
    <w:rsid w:val="D2FB60F1"/>
    <w:rsid w:val="D7FF5E8E"/>
    <w:rsid w:val="DFB94C90"/>
    <w:rsid w:val="DFFF3D71"/>
    <w:rsid w:val="F71E9B44"/>
    <w:rsid w:val="F7CDB25C"/>
    <w:rsid w:val="F8FDF38E"/>
    <w:rsid w:val="FBBE9F02"/>
    <w:rsid w:val="FDFA622D"/>
    <w:rsid w:val="FE731E12"/>
    <w:rsid w:val="FF9FEABF"/>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6F5"/>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4CBB"/>
    <w:rsid w:val="000D50D0"/>
    <w:rsid w:val="000D542A"/>
    <w:rsid w:val="000D7E52"/>
    <w:rsid w:val="000E07E5"/>
    <w:rsid w:val="000E0B81"/>
    <w:rsid w:val="000E189E"/>
    <w:rsid w:val="000E20F4"/>
    <w:rsid w:val="000E2399"/>
    <w:rsid w:val="000E2AA7"/>
    <w:rsid w:val="000E3442"/>
    <w:rsid w:val="000E367F"/>
    <w:rsid w:val="000E4284"/>
    <w:rsid w:val="000E55BD"/>
    <w:rsid w:val="000E6A2A"/>
    <w:rsid w:val="000F11FF"/>
    <w:rsid w:val="000F1409"/>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764"/>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37C"/>
    <w:rsid w:val="001509CD"/>
    <w:rsid w:val="00152459"/>
    <w:rsid w:val="00152808"/>
    <w:rsid w:val="00152AF2"/>
    <w:rsid w:val="001533F8"/>
    <w:rsid w:val="00155BE0"/>
    <w:rsid w:val="001561BF"/>
    <w:rsid w:val="00157077"/>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BE9"/>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75"/>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6D0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4CD9"/>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F29"/>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5DF1"/>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306"/>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3BC7"/>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09C7"/>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5DB"/>
    <w:rsid w:val="00487B1E"/>
    <w:rsid w:val="00491D22"/>
    <w:rsid w:val="00492DFE"/>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A7CBA"/>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D59D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172DC"/>
    <w:rsid w:val="00520266"/>
    <w:rsid w:val="00520775"/>
    <w:rsid w:val="0052196E"/>
    <w:rsid w:val="005249BE"/>
    <w:rsid w:val="005321BB"/>
    <w:rsid w:val="005322F1"/>
    <w:rsid w:val="005338E0"/>
    <w:rsid w:val="00535A8D"/>
    <w:rsid w:val="00541740"/>
    <w:rsid w:val="00542686"/>
    <w:rsid w:val="00543708"/>
    <w:rsid w:val="00543C0E"/>
    <w:rsid w:val="0054461F"/>
    <w:rsid w:val="00546161"/>
    <w:rsid w:val="00547A46"/>
    <w:rsid w:val="00547D69"/>
    <w:rsid w:val="00550081"/>
    <w:rsid w:val="005530DA"/>
    <w:rsid w:val="00553D36"/>
    <w:rsid w:val="005545BE"/>
    <w:rsid w:val="00554E12"/>
    <w:rsid w:val="00556B59"/>
    <w:rsid w:val="00556E51"/>
    <w:rsid w:val="00556FF1"/>
    <w:rsid w:val="005605B3"/>
    <w:rsid w:val="00561D8D"/>
    <w:rsid w:val="0056209F"/>
    <w:rsid w:val="005633AF"/>
    <w:rsid w:val="00563BCC"/>
    <w:rsid w:val="005673B6"/>
    <w:rsid w:val="00572104"/>
    <w:rsid w:val="005728F7"/>
    <w:rsid w:val="00573512"/>
    <w:rsid w:val="00573F49"/>
    <w:rsid w:val="00573F75"/>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4FE2"/>
    <w:rsid w:val="005C5A60"/>
    <w:rsid w:val="005C61E6"/>
    <w:rsid w:val="005C6BCE"/>
    <w:rsid w:val="005C7441"/>
    <w:rsid w:val="005C7C83"/>
    <w:rsid w:val="005D11EC"/>
    <w:rsid w:val="005D1468"/>
    <w:rsid w:val="005D1A72"/>
    <w:rsid w:val="005D3A26"/>
    <w:rsid w:val="005D3A69"/>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5817"/>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A76"/>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08C7"/>
    <w:rsid w:val="00811333"/>
    <w:rsid w:val="0081231A"/>
    <w:rsid w:val="008123BB"/>
    <w:rsid w:val="00812694"/>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CCA"/>
    <w:rsid w:val="00855F42"/>
    <w:rsid w:val="008608DE"/>
    <w:rsid w:val="00860A17"/>
    <w:rsid w:val="00861603"/>
    <w:rsid w:val="00861C23"/>
    <w:rsid w:val="00862BB9"/>
    <w:rsid w:val="008648B7"/>
    <w:rsid w:val="00864BB6"/>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16B"/>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3D0F"/>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791"/>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97FC6"/>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2E1"/>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265F"/>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48DE"/>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1AB0"/>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81D"/>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561A"/>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387E"/>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0ED9"/>
    <w:rsid w:val="00C51234"/>
    <w:rsid w:val="00C52B1E"/>
    <w:rsid w:val="00C52EB4"/>
    <w:rsid w:val="00C542F5"/>
    <w:rsid w:val="00C54709"/>
    <w:rsid w:val="00C54F57"/>
    <w:rsid w:val="00C577E9"/>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041"/>
    <w:rsid w:val="00CF1286"/>
    <w:rsid w:val="00CF1838"/>
    <w:rsid w:val="00CF1A2D"/>
    <w:rsid w:val="00CF2179"/>
    <w:rsid w:val="00CF26A7"/>
    <w:rsid w:val="00CF3B86"/>
    <w:rsid w:val="00CF3FF9"/>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004E"/>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108"/>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1BD0"/>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77332D7"/>
    <w:rsid w:val="0A681CFE"/>
    <w:rsid w:val="0E3F22A2"/>
    <w:rsid w:val="18F57676"/>
    <w:rsid w:val="19EF0782"/>
    <w:rsid w:val="1EEB4F3C"/>
    <w:rsid w:val="1F771AF4"/>
    <w:rsid w:val="21BF23F6"/>
    <w:rsid w:val="24272255"/>
    <w:rsid w:val="25212ED3"/>
    <w:rsid w:val="2C9D2470"/>
    <w:rsid w:val="36FE1489"/>
    <w:rsid w:val="3A804728"/>
    <w:rsid w:val="3CC250D2"/>
    <w:rsid w:val="3FFA9A34"/>
    <w:rsid w:val="4B7145D4"/>
    <w:rsid w:val="4D3E7D32"/>
    <w:rsid w:val="4D5F3B5F"/>
    <w:rsid w:val="4DEECBEB"/>
    <w:rsid w:val="4E02140A"/>
    <w:rsid w:val="51CF19F5"/>
    <w:rsid w:val="55BF6801"/>
    <w:rsid w:val="59322EE2"/>
    <w:rsid w:val="597268E3"/>
    <w:rsid w:val="59AC73AD"/>
    <w:rsid w:val="5CD46C0D"/>
    <w:rsid w:val="5E2F036C"/>
    <w:rsid w:val="603616BA"/>
    <w:rsid w:val="60745321"/>
    <w:rsid w:val="68CC13AD"/>
    <w:rsid w:val="69034A64"/>
    <w:rsid w:val="720F0649"/>
    <w:rsid w:val="76DDCEAA"/>
    <w:rsid w:val="777EE18E"/>
    <w:rsid w:val="781308DF"/>
    <w:rsid w:val="7B2DCAF2"/>
    <w:rsid w:val="7BFD326D"/>
    <w:rsid w:val="7C335543"/>
    <w:rsid w:val="7DFF3C22"/>
    <w:rsid w:val="7F22771F"/>
    <w:rsid w:val="7FCE1E18"/>
    <w:rsid w:val="7FD54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C642D0"/>
  <w15:docId w15:val="{061F8BF6-0770-B34D-BF26-6FCC784C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semiHidden/>
    <w:unhideWhenUsed/>
    <w:qFormat/>
    <w:pPr>
      <w:ind w:left="283" w:hanging="283"/>
      <w:contextualSpacing/>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List"/>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customStyle="1" w:styleId="Revision2">
    <w:name w:val="Revision2"/>
    <w:hidden/>
    <w:uiPriority w:val="99"/>
    <w:unhideWhenUsed/>
    <w:rPr>
      <w:color w:val="000000"/>
      <w:lang w:val="en-GB" w:eastAsia="ja-JP"/>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Revision">
    <w:name w:val="Revision"/>
    <w:hidden/>
    <w:uiPriority w:val="99"/>
    <w:unhideWhenUsed/>
    <w:rsid w:val="004D59D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6.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customXml" Target="ink/ink1.xml"/><Relationship Id="rId17" Type="http://schemas.openxmlformats.org/officeDocument/2006/relationships/hyperlink" Target="https://github.com/mjoras/sadcdn/blob/main/materials/117/SADCDN%20IETF%20DISPATCH.pdf"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mobile.com/tv-streaming/binge-on" TargetMode="External"/><Relationship Id="rId5" Type="http://schemas.openxmlformats.org/officeDocument/2006/relationships/webSettings" Target="webSettings.xml"/><Relationship Id="rId15" Type="http://schemas.openxmlformats.org/officeDocument/2006/relationships/hyperlink" Target="https://www.att.com/plans/wireless/"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verizon.com/support/important-plan-information/" TargetMode="External"/><Relationship Id="rId22"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1-10T20:57:37"/>
    </inkml:context>
    <inkml:brush xml:id="br0">
      <inkml:brushProperty name="width" value="0.05" units="cm"/>
      <inkml:brushProperty name="height" value="0.05" units="cm"/>
      <inkml:brushProperty name="color" value="#E71224"/>
    </inkml:brush>
  </inkml:definitions>
  <inkml:trace contextRef="#ctx0" brushRef="#br0">0 0 24575,'0'0'0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643</Words>
  <Characters>3670</Characters>
  <Application>Microsoft Office Word</Application>
  <DocSecurity>0</DocSecurity>
  <Lines>30</Lines>
  <Paragraphs>8</Paragraphs>
  <ScaleCrop>false</ScaleCrop>
  <Company>ETSI/MCC</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Curt</cp:lastModifiedBy>
  <cp:revision>4</cp:revision>
  <cp:lastPrinted>2014-09-13T09:04:00Z</cp:lastPrinted>
  <dcterms:created xsi:type="dcterms:W3CDTF">2024-04-05T20:01:00Z</dcterms:created>
  <dcterms:modified xsi:type="dcterms:W3CDTF">2024-04-05T20:02:00Z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2052-6.5.2.8766</vt:lpwstr>
  </property>
  <property fmtid="{D5CDD505-2E9C-101B-9397-08002B2CF9AE}" pid="5" name="ICV">
    <vt:lpwstr>1F50B52F3B186456BD9703662D231F29_43</vt:lpwstr>
  </property>
</Properties>
</file>